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8A8" w:rsidRDefault="009018A8" w:rsidP="009018A8">
      <w:pPr>
        <w:jc w:val="center"/>
        <w:rPr>
          <w:b/>
        </w:rPr>
      </w:pPr>
      <w:bookmarkStart w:id="0" w:name="_GoBack"/>
      <w:bookmarkEnd w:id="0"/>
      <w:r>
        <w:rPr>
          <w:b/>
        </w:rPr>
        <w:t>Quantitative Physiology I / Molecular and Cellular Systems, BMEN E4001x</w:t>
      </w:r>
    </w:p>
    <w:p w:rsidR="009018A8" w:rsidRDefault="009018A8" w:rsidP="009018A8">
      <w:pPr>
        <w:jc w:val="center"/>
        <w:rPr>
          <w:b/>
        </w:rPr>
      </w:pPr>
      <w:r>
        <w:rPr>
          <w:b/>
        </w:rPr>
        <w:t>Notes 06 – Numerical simulations</w:t>
      </w:r>
    </w:p>
    <w:p w:rsidR="007A74E0" w:rsidRDefault="007A74E0" w:rsidP="009018A8">
      <w:pPr>
        <w:jc w:val="center"/>
        <w:rPr>
          <w:b/>
        </w:rPr>
      </w:pPr>
      <w:r>
        <w:rPr>
          <w:b/>
        </w:rPr>
        <w:t>Keener &amp; Sneyd, section 1.3 Glycolysis and Glycolytic oscillations</w:t>
      </w:r>
    </w:p>
    <w:p w:rsidR="004354EA" w:rsidRDefault="004354EA" w:rsidP="009018A8">
      <w:pPr>
        <w:jc w:val="center"/>
        <w:rPr>
          <w:b/>
        </w:rPr>
      </w:pPr>
      <w:r>
        <w:rPr>
          <w:b/>
        </w:rPr>
        <w:t>web-available Runge-Kutta and MATLAB resource</w:t>
      </w:r>
    </w:p>
    <w:p w:rsidR="007A74E0" w:rsidRDefault="007A74E0" w:rsidP="007A74E0">
      <w:pPr>
        <w:pStyle w:val="Heading1"/>
      </w:pPr>
      <w:r>
        <w:t>Sel’kov model</w:t>
      </w:r>
    </w:p>
    <w:p w:rsidR="007A74E0" w:rsidRDefault="00AB10D3" w:rsidP="007A74E0">
      <w:pPr>
        <w:jc w:val="center"/>
      </w:pPr>
      <w:r>
        <w:rPr>
          <w:noProof/>
        </w:rPr>
        <w:drawing>
          <wp:inline distT="0" distB="0" distL="0" distR="0">
            <wp:extent cx="5395595" cy="12312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5595" cy="1231265"/>
                    </a:xfrm>
                    <a:prstGeom prst="rect">
                      <a:avLst/>
                    </a:prstGeom>
                    <a:noFill/>
                    <a:ln>
                      <a:noFill/>
                    </a:ln>
                  </pic:spPr>
                </pic:pic>
              </a:graphicData>
            </a:graphic>
          </wp:inline>
        </w:drawing>
      </w:r>
    </w:p>
    <w:p w:rsidR="007A74E0" w:rsidRDefault="004E125E" w:rsidP="007A74E0">
      <w:r>
        <w:t xml:space="preserve">Under certain conditions, this system exhibits oscillations. </w:t>
      </w:r>
      <w:r w:rsidR="007A74E0">
        <w:t xml:space="preserve">K&amp;S has a full description of the </w:t>
      </w:r>
      <w:r>
        <w:t xml:space="preserve">history and interactions.  Earlier, we discussed that PFK1 is inhibited by ATP, and also acts on ATP. In this model, assume that </w:t>
      </w:r>
      <w:r w:rsidR="007A74E0">
        <w:t>ADP</w:t>
      </w:r>
      <w:r>
        <w:t xml:space="preserve"> provides a positive regulation on PFK1; need to generate more ATP. Specifically, assume:</w:t>
      </w:r>
    </w:p>
    <w:p w:rsidR="00656ED8" w:rsidRDefault="00656ED8" w:rsidP="007A74E0"/>
    <w:p w:rsidR="00840FD1" w:rsidRDefault="00840FD1" w:rsidP="00840FD1">
      <w:pPr>
        <w:numPr>
          <w:ilvl w:val="0"/>
          <w:numId w:val="23"/>
        </w:numPr>
      </w:pPr>
      <w:r>
        <w:t>ATP is a substrate and inhibitor to PFK1 (source of phos. for creating F-1,6-P)</w:t>
      </w:r>
    </w:p>
    <w:p w:rsidR="00840FD1" w:rsidRDefault="00840FD1" w:rsidP="00840FD1">
      <w:pPr>
        <w:numPr>
          <w:ilvl w:val="0"/>
          <w:numId w:val="23"/>
        </w:numPr>
      </w:pPr>
      <w:r>
        <w:t>Inhibition is removed by AMP</w:t>
      </w:r>
    </w:p>
    <w:p w:rsidR="00840FD1" w:rsidRDefault="00840FD1" w:rsidP="00840FD1">
      <w:pPr>
        <w:numPr>
          <w:ilvl w:val="0"/>
          <w:numId w:val="23"/>
        </w:numPr>
      </w:pPr>
      <w:r>
        <w:t>Steady state doesn’t capture full behavior</w:t>
      </w:r>
    </w:p>
    <w:p w:rsidR="00840FD1" w:rsidRDefault="00840FD1" w:rsidP="00840FD1">
      <w:pPr>
        <w:numPr>
          <w:ilvl w:val="0"/>
          <w:numId w:val="23"/>
        </w:numPr>
      </w:pPr>
      <w:r>
        <w:t>Oscillations have been observed in yeast models</w:t>
      </w:r>
    </w:p>
    <w:p w:rsidR="00656ED8" w:rsidRDefault="00656ED8" w:rsidP="00656ED8">
      <w:pPr>
        <w:numPr>
          <w:ilvl w:val="0"/>
          <w:numId w:val="23"/>
        </w:numPr>
      </w:pPr>
      <w:r>
        <w:t>Sel</w:t>
      </w:r>
      <w:r w:rsidR="00840FD1">
        <w:t>’kov model as a simplified explanation</w:t>
      </w:r>
    </w:p>
    <w:p w:rsidR="00840FD1" w:rsidRDefault="00840FD1" w:rsidP="00656ED8">
      <w:pPr>
        <w:numPr>
          <w:ilvl w:val="0"/>
          <w:numId w:val="23"/>
        </w:numPr>
      </w:pPr>
      <w:r>
        <w:t>Goal: find reaction behavior as a function of input ATP</w:t>
      </w:r>
    </w:p>
    <w:p w:rsidR="00656ED8" w:rsidRDefault="00DA70BB" w:rsidP="007A74E0">
      <w:pPr>
        <w:numPr>
          <w:ilvl w:val="0"/>
          <w:numId w:val="23"/>
        </w:numPr>
      </w:pPr>
      <w:r>
        <w:t xml:space="preserve">binding of a certain number of </w:t>
      </w:r>
      <w:r w:rsidR="00840FD1">
        <w:t>ADP</w:t>
      </w:r>
      <w:r>
        <w:t xml:space="preserve">s, </w:t>
      </w:r>
      <w:r>
        <w:sym w:font="Symbol" w:char="F067"/>
      </w:r>
      <w:r>
        <w:t>,</w:t>
      </w:r>
      <w:r w:rsidR="00840FD1">
        <w:t xml:space="preserve"> (correlated to AMP) activates PFK1</w:t>
      </w:r>
    </w:p>
    <w:p w:rsidR="004E125E" w:rsidRDefault="004E125E" w:rsidP="004E125E">
      <w:pPr>
        <w:numPr>
          <w:ilvl w:val="0"/>
          <w:numId w:val="23"/>
        </w:numPr>
      </w:pPr>
      <w:r>
        <w:t xml:space="preserve">In the following scenario, </w:t>
      </w:r>
    </w:p>
    <w:p w:rsidR="004E125E" w:rsidRDefault="004354EA" w:rsidP="004E125E">
      <w:pPr>
        <w:numPr>
          <w:ilvl w:val="1"/>
          <w:numId w:val="23"/>
        </w:numPr>
      </w:pPr>
      <w:r>
        <w:t>PFK1=E, with further substitutions in the next section: [ES</w:t>
      </w:r>
      <w:r>
        <w:rPr>
          <w:vertAlign w:val="subscript"/>
        </w:rPr>
        <w:t>2</w:t>
      </w:r>
      <w:r>
        <w:rPr>
          <w:vertAlign w:val="superscript"/>
        </w:rPr>
        <w:sym w:font="Symbol" w:char="F067"/>
      </w:r>
      <w:r>
        <w:t>]=x</w:t>
      </w:r>
      <w:r>
        <w:rPr>
          <w:vertAlign w:val="subscript"/>
        </w:rPr>
        <w:t>1</w:t>
      </w:r>
      <w:r>
        <w:t>; [S</w:t>
      </w:r>
      <w:r>
        <w:rPr>
          <w:vertAlign w:val="subscript"/>
        </w:rPr>
        <w:t>1</w:t>
      </w:r>
      <w:r>
        <w:t>ES</w:t>
      </w:r>
      <w:r>
        <w:rPr>
          <w:vertAlign w:val="subscript"/>
        </w:rPr>
        <w:t>2</w:t>
      </w:r>
      <w:r>
        <w:rPr>
          <w:vertAlign w:val="superscript"/>
        </w:rPr>
        <w:sym w:font="Symbol" w:char="F067"/>
      </w:r>
      <w:r>
        <w:t>]=x</w:t>
      </w:r>
      <w:r>
        <w:rPr>
          <w:vertAlign w:val="subscript"/>
        </w:rPr>
        <w:t>2</w:t>
      </w:r>
    </w:p>
    <w:p w:rsidR="004E125E" w:rsidRDefault="004E125E" w:rsidP="004E125E">
      <w:pPr>
        <w:numPr>
          <w:ilvl w:val="1"/>
          <w:numId w:val="23"/>
        </w:numPr>
      </w:pPr>
      <w:r>
        <w:t>ATP=S</w:t>
      </w:r>
      <w:r>
        <w:rPr>
          <w:vertAlign w:val="subscript"/>
        </w:rPr>
        <w:t>1</w:t>
      </w:r>
      <w:r>
        <w:t>, ADP=S</w:t>
      </w:r>
      <w:r>
        <w:rPr>
          <w:vertAlign w:val="subscript"/>
        </w:rPr>
        <w:t>2</w:t>
      </w:r>
      <w:r>
        <w:t xml:space="preserve">, </w:t>
      </w:r>
    </w:p>
    <w:p w:rsidR="004E125E" w:rsidRDefault="004E125E" w:rsidP="004354EA">
      <w:pPr>
        <w:numPr>
          <w:ilvl w:val="1"/>
          <w:numId w:val="23"/>
        </w:numPr>
      </w:pPr>
      <w:r>
        <w:sym w:font="Symbol" w:char="F067"/>
      </w:r>
      <w:r>
        <w:t>= # of ADPs needed to activate PFK1</w:t>
      </w:r>
    </w:p>
    <w:p w:rsidR="004354EA" w:rsidRDefault="004354EA" w:rsidP="004354EA">
      <w:pPr>
        <w:numPr>
          <w:ilvl w:val="0"/>
          <w:numId w:val="23"/>
        </w:numPr>
      </w:pPr>
      <w:r>
        <w:t>scheme, given input rate v</w:t>
      </w:r>
      <w:r>
        <w:rPr>
          <w:vertAlign w:val="subscript"/>
        </w:rPr>
        <w:t>1</w:t>
      </w:r>
      <w:r>
        <w:t>,</w:t>
      </w:r>
      <w:r w:rsidR="00DA70BB">
        <w:t xml:space="preserve"> (ON BOARD)</w:t>
      </w:r>
    </w:p>
    <w:p w:rsidR="004E125E" w:rsidRDefault="00AB10D3" w:rsidP="004E125E">
      <w:pPr>
        <w:jc w:val="center"/>
      </w:pPr>
      <w:r>
        <w:rPr>
          <w:noProof/>
        </w:rPr>
        <w:drawing>
          <wp:inline distT="0" distB="0" distL="0" distR="0">
            <wp:extent cx="1520825" cy="70612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0825" cy="706120"/>
                    </a:xfrm>
                    <a:prstGeom prst="rect">
                      <a:avLst/>
                    </a:prstGeom>
                    <a:noFill/>
                    <a:ln>
                      <a:noFill/>
                    </a:ln>
                  </pic:spPr>
                </pic:pic>
              </a:graphicData>
            </a:graphic>
          </wp:inline>
        </w:drawing>
      </w:r>
      <w:r w:rsidR="004354EA">
        <w:t xml:space="preserve">   (activation of PFK1)</w:t>
      </w:r>
    </w:p>
    <w:p w:rsidR="004E125E" w:rsidRPr="004354EA" w:rsidRDefault="00AB10D3" w:rsidP="004E125E">
      <w:pPr>
        <w:jc w:val="center"/>
      </w:pPr>
      <w:r>
        <w:rPr>
          <w:noProof/>
        </w:rPr>
        <w:drawing>
          <wp:inline distT="0" distB="0" distL="0" distR="0">
            <wp:extent cx="2806700" cy="12128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0" cy="1212850"/>
                    </a:xfrm>
                    <a:prstGeom prst="rect">
                      <a:avLst/>
                    </a:prstGeom>
                    <a:noFill/>
                    <a:ln>
                      <a:noFill/>
                    </a:ln>
                  </pic:spPr>
                </pic:pic>
              </a:graphicData>
            </a:graphic>
          </wp:inline>
        </w:drawing>
      </w:r>
      <w:r w:rsidR="004354EA">
        <w:t xml:space="preserve">  (input of S</w:t>
      </w:r>
      <w:r w:rsidR="004354EA">
        <w:rPr>
          <w:vertAlign w:val="subscript"/>
        </w:rPr>
        <w:t>1</w:t>
      </w:r>
      <w:r w:rsidR="004354EA">
        <w:t>, what is the rate S</w:t>
      </w:r>
      <w:r w:rsidR="004354EA">
        <w:rPr>
          <w:vertAlign w:val="subscript"/>
        </w:rPr>
        <w:t>2</w:t>
      </w:r>
      <w:r w:rsidR="004354EA">
        <w:t>)</w:t>
      </w:r>
    </w:p>
    <w:p w:rsidR="007A74E0" w:rsidRPr="004354EA" w:rsidRDefault="004354EA" w:rsidP="009018A8">
      <w:r>
        <w:lastRenderedPageBreak/>
        <w:t>Gives the differential and conservation equations, using the normal substitutions (along with the one above)</w:t>
      </w:r>
    </w:p>
    <w:p w:rsidR="004354EA" w:rsidRDefault="00AB10D3" w:rsidP="004354EA">
      <w:pPr>
        <w:jc w:val="center"/>
      </w:pPr>
      <w:r>
        <w:rPr>
          <w:noProof/>
        </w:rPr>
        <w:drawing>
          <wp:inline distT="0" distB="0" distL="0" distR="0">
            <wp:extent cx="4091940" cy="2091055"/>
            <wp:effectExtent l="0" t="0" r="381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1940" cy="2091055"/>
                    </a:xfrm>
                    <a:prstGeom prst="rect">
                      <a:avLst/>
                    </a:prstGeom>
                    <a:noFill/>
                    <a:ln>
                      <a:noFill/>
                    </a:ln>
                  </pic:spPr>
                </pic:pic>
              </a:graphicData>
            </a:graphic>
          </wp:inline>
        </w:drawing>
      </w:r>
    </w:p>
    <w:p w:rsidR="004354EA" w:rsidRDefault="004354EA" w:rsidP="004354EA">
      <w:pPr>
        <w:jc w:val="center"/>
        <w:rPr>
          <w:vertAlign w:val="subscript"/>
        </w:rPr>
      </w:pPr>
      <w:r>
        <w:t>e + x</w:t>
      </w:r>
      <w:r>
        <w:rPr>
          <w:vertAlign w:val="subscript"/>
        </w:rPr>
        <w:t xml:space="preserve">1 </w:t>
      </w:r>
      <w:r>
        <w:t>+ x</w:t>
      </w:r>
      <w:r>
        <w:rPr>
          <w:vertAlign w:val="subscript"/>
        </w:rPr>
        <w:t>2</w:t>
      </w:r>
      <w:r>
        <w:t xml:space="preserve"> = e</w:t>
      </w:r>
      <w:r>
        <w:rPr>
          <w:vertAlign w:val="subscript"/>
        </w:rPr>
        <w:t>0</w:t>
      </w:r>
    </w:p>
    <w:p w:rsidR="004354EA" w:rsidRDefault="004354EA" w:rsidP="004354EA"/>
    <w:p w:rsidR="004354EA" w:rsidRDefault="004354EA" w:rsidP="004354EA">
      <w:r w:rsidRPr="004354EA">
        <w:t xml:space="preserve">Introduce the </w:t>
      </w:r>
      <w:r>
        <w:t>following non-dimensional variables</w:t>
      </w:r>
      <w:r w:rsidR="00DA70BB">
        <w:t xml:space="preserve"> (COPY KEY PARTS ONTO BOARD)</w:t>
      </w:r>
    </w:p>
    <w:p w:rsidR="004354EA" w:rsidRDefault="004354EA" w:rsidP="004354EA">
      <w:r w:rsidRPr="004354EA">
        <w:rPr>
          <w:position w:val="-30"/>
        </w:rPr>
        <w:object w:dxaOrig="1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4pt" o:ole="">
            <v:imagedata r:id="rId10" o:title=""/>
          </v:shape>
          <o:OLEObject Type="Embed" ProgID="Equation.3" ShapeID="_x0000_i1025" DrawAspect="Content" ObjectID="_1534282964" r:id="rId11"/>
        </w:object>
      </w:r>
      <w:r>
        <w:tab/>
      </w:r>
      <w:r>
        <w:tab/>
      </w:r>
      <w:r w:rsidRPr="004354EA">
        <w:rPr>
          <w:position w:val="-32"/>
        </w:rPr>
        <w:object w:dxaOrig="1579" w:dyaOrig="800">
          <v:shape id="_x0000_i1026" type="#_x0000_t75" style="width:79pt;height:40pt" o:ole="">
            <v:imagedata r:id="rId12" o:title=""/>
          </v:shape>
          <o:OLEObject Type="Embed" ProgID="Equation.3" ShapeID="_x0000_i1026" DrawAspect="Content" ObjectID="_1534282965" r:id="rId13"/>
        </w:object>
      </w:r>
      <w:r>
        <w:tab/>
      </w:r>
      <w:r w:rsidRPr="004354EA">
        <w:rPr>
          <w:position w:val="-30"/>
        </w:rPr>
        <w:object w:dxaOrig="760" w:dyaOrig="680">
          <v:shape id="_x0000_i1027" type="#_x0000_t75" style="width:38pt;height:34pt" o:ole="">
            <v:imagedata r:id="rId14" o:title=""/>
          </v:shape>
          <o:OLEObject Type="Embed" ProgID="Equation.3" ShapeID="_x0000_i1027" DrawAspect="Content" ObjectID="_1534282966" r:id="rId15"/>
        </w:object>
      </w:r>
      <w:r>
        <w:tab/>
      </w:r>
      <w:r w:rsidRPr="004354EA">
        <w:rPr>
          <w:position w:val="-30"/>
        </w:rPr>
        <w:object w:dxaOrig="820" w:dyaOrig="680">
          <v:shape id="_x0000_i1028" type="#_x0000_t75" style="width:41pt;height:34pt" o:ole="">
            <v:imagedata r:id="rId16" o:title=""/>
          </v:shape>
          <o:OLEObject Type="Embed" ProgID="Equation.3" ShapeID="_x0000_i1028" DrawAspect="Content" ObjectID="_1534282967" r:id="rId17"/>
        </w:object>
      </w:r>
      <w:r>
        <w:tab/>
      </w:r>
      <w:r w:rsidR="00D61663" w:rsidRPr="004354EA">
        <w:rPr>
          <w:position w:val="-30"/>
        </w:rPr>
        <w:object w:dxaOrig="1300" w:dyaOrig="680">
          <v:shape id="_x0000_i1029" type="#_x0000_t75" style="width:65pt;height:34pt" o:ole="">
            <v:imagedata r:id="rId18" o:title=""/>
          </v:shape>
          <o:OLEObject Type="Embed" ProgID="Equation.3" ShapeID="_x0000_i1029" DrawAspect="Content" ObjectID="_1534282968" r:id="rId19"/>
        </w:object>
      </w:r>
    </w:p>
    <w:p w:rsidR="004354EA" w:rsidRDefault="004354EA" w:rsidP="004354EA"/>
    <w:p w:rsidR="004354EA" w:rsidRDefault="004354EA" w:rsidP="004354EA">
      <w:r>
        <w:t>along with the following derived parameters</w:t>
      </w:r>
    </w:p>
    <w:p w:rsidR="00D73CD8" w:rsidRDefault="00FB051F" w:rsidP="004354EA">
      <w:r w:rsidRPr="00D73CD8">
        <w:rPr>
          <w:position w:val="-30"/>
        </w:rPr>
        <w:object w:dxaOrig="1440" w:dyaOrig="680">
          <v:shape id="_x0000_i1030" type="#_x0000_t75" style="width:1in;height:34pt" o:ole="">
            <v:imagedata r:id="rId20" o:title=""/>
          </v:shape>
          <o:OLEObject Type="Embed" ProgID="Equation.3" ShapeID="_x0000_i1030" DrawAspect="Content" ObjectID="_1534282969" r:id="rId21"/>
        </w:object>
      </w:r>
      <w:r w:rsidR="00B060CC">
        <w:t>;epsilon</w:t>
      </w:r>
      <w:r>
        <w:tab/>
      </w:r>
      <w:r w:rsidRPr="00FB051F">
        <w:rPr>
          <w:position w:val="-30"/>
        </w:rPr>
        <w:object w:dxaOrig="859" w:dyaOrig="680">
          <v:shape id="_x0000_i1031" type="#_x0000_t75" style="width:43pt;height:34pt" o:ole="">
            <v:imagedata r:id="rId22" o:title=""/>
          </v:shape>
          <o:OLEObject Type="Embed" ProgID="Equation.3" ShapeID="_x0000_i1031" DrawAspect="Content" ObjectID="_1534282970" r:id="rId23"/>
        </w:object>
      </w:r>
      <w:r w:rsidR="00B060CC">
        <w:t>;nu</w:t>
      </w:r>
      <w:r>
        <w:tab/>
      </w:r>
      <w:r w:rsidRPr="00FB051F">
        <w:rPr>
          <w:position w:val="-30"/>
        </w:rPr>
        <w:object w:dxaOrig="1540" w:dyaOrig="680">
          <v:shape id="_x0000_i1032" type="#_x0000_t75" style="width:77pt;height:34pt" o:ole="">
            <v:imagedata r:id="rId24" o:title=""/>
          </v:shape>
          <o:OLEObject Type="Embed" ProgID="Equation.3" ShapeID="_x0000_i1032" DrawAspect="Content" ObjectID="_1534282971" r:id="rId25"/>
        </w:object>
      </w:r>
      <w:r w:rsidR="00B060CC">
        <w:t>;eta</w:t>
      </w:r>
      <w:r>
        <w:tab/>
      </w:r>
      <w:r w:rsidR="00AE0A8B" w:rsidRPr="00FB051F">
        <w:rPr>
          <w:position w:val="-32"/>
        </w:rPr>
        <w:object w:dxaOrig="2020" w:dyaOrig="800">
          <v:shape id="_x0000_i1033" type="#_x0000_t75" style="width:101pt;height:40pt" o:ole="">
            <v:imagedata r:id="rId26" o:title=""/>
          </v:shape>
          <o:OLEObject Type="Embed" ProgID="Equation.3" ShapeID="_x0000_i1033" DrawAspect="Content" ObjectID="_1534282972" r:id="rId27"/>
        </w:object>
      </w:r>
      <w:r w:rsidR="00B060CC">
        <w:t>;alpha</w:t>
      </w:r>
    </w:p>
    <w:p w:rsidR="004354EA" w:rsidRDefault="004354EA" w:rsidP="00D61663">
      <w:pPr>
        <w:jc w:val="center"/>
      </w:pPr>
    </w:p>
    <w:p w:rsidR="00D61663" w:rsidRDefault="00D61663" w:rsidP="004354EA"/>
    <w:p w:rsidR="00D61663" w:rsidRDefault="00D61663" w:rsidP="004354EA">
      <w:r>
        <w:t>the system becomes:</w:t>
      </w:r>
    </w:p>
    <w:p w:rsidR="00D61663" w:rsidRDefault="00AB10D3" w:rsidP="00D61663">
      <w:pPr>
        <w:jc w:val="center"/>
      </w:pPr>
      <w:r>
        <w:rPr>
          <w:noProof/>
        </w:rPr>
        <w:drawing>
          <wp:inline distT="0" distB="0" distL="0" distR="0">
            <wp:extent cx="3051175" cy="7245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51175" cy="724535"/>
                    </a:xfrm>
                    <a:prstGeom prst="rect">
                      <a:avLst/>
                    </a:prstGeom>
                    <a:noFill/>
                    <a:ln>
                      <a:noFill/>
                    </a:ln>
                  </pic:spPr>
                </pic:pic>
              </a:graphicData>
            </a:graphic>
          </wp:inline>
        </w:drawing>
      </w:r>
    </w:p>
    <w:p w:rsidR="00D61663" w:rsidRDefault="00AB10D3" w:rsidP="00D61663">
      <w:pPr>
        <w:jc w:val="center"/>
      </w:pPr>
      <w:r>
        <w:rPr>
          <w:noProof/>
        </w:rPr>
        <w:drawing>
          <wp:inline distT="0" distB="0" distL="0" distR="0">
            <wp:extent cx="4689475" cy="1656715"/>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9475" cy="1656715"/>
                    </a:xfrm>
                    <a:prstGeom prst="rect">
                      <a:avLst/>
                    </a:prstGeom>
                    <a:noFill/>
                    <a:ln>
                      <a:noFill/>
                    </a:ln>
                  </pic:spPr>
                </pic:pic>
              </a:graphicData>
            </a:graphic>
          </wp:inline>
        </w:drawing>
      </w:r>
    </w:p>
    <w:p w:rsidR="00D61663" w:rsidRDefault="00D61663" w:rsidP="00D61663">
      <w:pPr>
        <w:jc w:val="center"/>
      </w:pPr>
    </w:p>
    <w:p w:rsidR="00D61663" w:rsidRDefault="00D61663" w:rsidP="00D61663">
      <w:r>
        <w:br w:type="page"/>
      </w:r>
      <w:r>
        <w:lastRenderedPageBreak/>
        <w:t>If we assume epsilon is small (following same argument as quasi steady-state, essentially), the lower two equations become:</w:t>
      </w:r>
    </w:p>
    <w:p w:rsidR="00D61663" w:rsidRDefault="00AB10D3" w:rsidP="00D61663">
      <w:pPr>
        <w:jc w:val="center"/>
      </w:pPr>
      <w:r>
        <w:rPr>
          <w:noProof/>
        </w:rPr>
        <w:drawing>
          <wp:inline distT="0" distB="0" distL="0" distR="0">
            <wp:extent cx="2815590" cy="124015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15590" cy="1240155"/>
                    </a:xfrm>
                    <a:prstGeom prst="rect">
                      <a:avLst/>
                    </a:prstGeom>
                    <a:noFill/>
                    <a:ln>
                      <a:noFill/>
                    </a:ln>
                  </pic:spPr>
                </pic:pic>
              </a:graphicData>
            </a:graphic>
          </wp:inline>
        </w:drawing>
      </w:r>
    </w:p>
    <w:p w:rsidR="00D61663" w:rsidRDefault="00D61663" w:rsidP="00D61663"/>
    <w:p w:rsidR="00D61663" w:rsidRDefault="00D61663" w:rsidP="00D61663">
      <w:r>
        <w:t>which allows simplification of the two earlier equations</w:t>
      </w:r>
    </w:p>
    <w:p w:rsidR="00D61663" w:rsidRDefault="00AB10D3" w:rsidP="00D61663">
      <w:pPr>
        <w:jc w:val="center"/>
      </w:pPr>
      <w:r>
        <w:rPr>
          <w:noProof/>
        </w:rPr>
        <w:drawing>
          <wp:inline distT="0" distB="0" distL="0" distR="0">
            <wp:extent cx="2190750" cy="110426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90750" cy="1104265"/>
                    </a:xfrm>
                    <a:prstGeom prst="rect">
                      <a:avLst/>
                    </a:prstGeom>
                    <a:noFill/>
                    <a:ln>
                      <a:noFill/>
                    </a:ln>
                  </pic:spPr>
                </pic:pic>
              </a:graphicData>
            </a:graphic>
          </wp:inline>
        </w:drawing>
      </w:r>
    </w:p>
    <w:p w:rsidR="00B060CC" w:rsidRDefault="00B060CC" w:rsidP="00D61663"/>
    <w:p w:rsidR="00D61663" w:rsidRDefault="00B060CC" w:rsidP="00D61663">
      <w:r>
        <w:t>Following along the steady-state idea, we can set these differential equations to zero, and get the following STABLE SOLUTION</w:t>
      </w:r>
    </w:p>
    <w:p w:rsidR="00B060CC" w:rsidRDefault="00DA70BB" w:rsidP="00B060CC">
      <w:pPr>
        <w:jc w:val="center"/>
      </w:pPr>
      <w:r w:rsidRPr="00B060CC">
        <w:rPr>
          <w:position w:val="-64"/>
        </w:rPr>
        <w:object w:dxaOrig="1420" w:dyaOrig="1400">
          <v:shape id="_x0000_i1034" type="#_x0000_t75" style="width:71pt;height:70pt" o:ole="">
            <v:imagedata r:id="rId32" o:title=""/>
          </v:shape>
          <o:OLEObject Type="Embed" ProgID="Equation.3" ShapeID="_x0000_i1034" DrawAspect="Content" ObjectID="_1534282973" r:id="rId33"/>
        </w:object>
      </w:r>
    </w:p>
    <w:p w:rsidR="00DA70BB" w:rsidRDefault="00DA70BB" w:rsidP="00DA70BB">
      <w:r>
        <w:t xml:space="preserve">As an example, setting </w:t>
      </w:r>
      <w:r>
        <w:sym w:font="Symbol" w:char="F067"/>
      </w:r>
      <w:r>
        <w:t>=2;</w:t>
      </w:r>
      <w:r>
        <w:tab/>
      </w:r>
      <w:r>
        <w:sym w:font="Symbol" w:char="F06E"/>
      </w:r>
      <w:r>
        <w:t xml:space="preserve">=0.0285; </w:t>
      </w:r>
      <w:r>
        <w:sym w:font="Symbol" w:char="F068"/>
      </w:r>
      <w:r>
        <w:t>=0.1;</w:t>
      </w:r>
      <w:r>
        <w:tab/>
      </w:r>
      <w:r>
        <w:sym w:font="Symbol" w:char="F061"/>
      </w:r>
      <w:r>
        <w:t>=1.0</w:t>
      </w:r>
    </w:p>
    <w:p w:rsidR="00DA70BB" w:rsidRDefault="00DA70BB" w:rsidP="00DA70BB">
      <w:r>
        <w:t xml:space="preserve">Stable solution yields </w:t>
      </w:r>
      <w:r>
        <w:tab/>
      </w:r>
      <w:r>
        <w:tab/>
      </w:r>
      <w:r>
        <w:sym w:font="Symbol" w:char="F073"/>
      </w:r>
      <w:r>
        <w:rPr>
          <w:vertAlign w:val="subscript"/>
        </w:rPr>
        <w:t>1</w:t>
      </w:r>
      <w:r w:rsidR="00141163">
        <w:t>= 0.3905</w:t>
      </w:r>
      <w:r>
        <w:t>;</w:t>
      </w:r>
      <w:r>
        <w:tab/>
      </w:r>
      <w:r>
        <w:tab/>
      </w:r>
      <w:r>
        <w:sym w:font="Symbol" w:char="F073"/>
      </w:r>
      <w:r>
        <w:rPr>
          <w:vertAlign w:val="subscript"/>
        </w:rPr>
        <w:t>2</w:t>
      </w:r>
      <w:r>
        <w:t>= 0.285</w:t>
      </w:r>
    </w:p>
    <w:p w:rsidR="00387637" w:rsidRDefault="00DA70BB" w:rsidP="00DA70BB">
      <w:r>
        <w:t>But there are problems.  In particular, this link between the two sigmas has no basis, such as a conservation equation.  Make a vector plot of the two ODEs for t</w:t>
      </w:r>
      <w:r w:rsidR="007857BF">
        <w:t xml:space="preserve">he sigmas, </w:t>
      </w:r>
      <w:r w:rsidR="00387637">
        <w:t>and, indeed, if you solve the ODEs,</w:t>
      </w:r>
    </w:p>
    <w:p w:rsidR="007857BF" w:rsidRDefault="00AB10D3" w:rsidP="007857BF">
      <w:pPr>
        <w:jc w:val="center"/>
      </w:pPr>
      <w:r>
        <w:rPr>
          <w:noProof/>
        </w:rPr>
        <w:drawing>
          <wp:inline distT="0" distB="0" distL="0" distR="0">
            <wp:extent cx="2969260" cy="20910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69260" cy="2091055"/>
                    </a:xfrm>
                    <a:prstGeom prst="rect">
                      <a:avLst/>
                    </a:prstGeom>
                    <a:noFill/>
                    <a:ln>
                      <a:noFill/>
                    </a:ln>
                  </pic:spPr>
                </pic:pic>
              </a:graphicData>
            </a:graphic>
          </wp:inline>
        </w:drawing>
      </w:r>
    </w:p>
    <w:p w:rsidR="00387637" w:rsidRDefault="00387637" w:rsidP="00387637">
      <w:pPr>
        <w:jc w:val="center"/>
      </w:pPr>
    </w:p>
    <w:p w:rsidR="00387637" w:rsidRDefault="00387637" w:rsidP="00DA70BB">
      <w:r>
        <w:lastRenderedPageBreak/>
        <w:t>More notes:</w:t>
      </w:r>
    </w:p>
    <w:p w:rsidR="00387637" w:rsidRDefault="00387637" w:rsidP="00387637">
      <w:pPr>
        <w:numPr>
          <w:ilvl w:val="0"/>
          <w:numId w:val="25"/>
        </w:numPr>
      </w:pPr>
      <w:r>
        <w:t>You can see on this graph the stability solution</w:t>
      </w:r>
    </w:p>
    <w:p w:rsidR="00387637" w:rsidRDefault="00387637" w:rsidP="00387637">
      <w:pPr>
        <w:numPr>
          <w:ilvl w:val="0"/>
          <w:numId w:val="25"/>
        </w:numPr>
      </w:pPr>
      <w:r>
        <w:t>This stability is not, well, stable.  That is, move from this point, you go to the attractors indicated by the curve.</w:t>
      </w:r>
    </w:p>
    <w:p w:rsidR="00387637" w:rsidRDefault="00387637" w:rsidP="00387637">
      <w:pPr>
        <w:numPr>
          <w:ilvl w:val="0"/>
          <w:numId w:val="25"/>
        </w:numPr>
      </w:pPr>
      <w:r>
        <w:t>This path is highly dependent on parameters, including the balance of gamma, eta, nu, alpha. OUR GOAL HERE IS TO EXPLORE THIS BEHAVIOR NUMERICALLY.  In solving ODEs, this usually means finding the dependent variables as a function of time, given necessary parameters and initial conditions.</w:t>
      </w:r>
    </w:p>
    <w:p w:rsidR="00387637" w:rsidRDefault="00387637" w:rsidP="00DA70BB">
      <w:r>
        <w:t>For this, use the MATLAB program</w:t>
      </w:r>
      <w:r w:rsidR="00857D2E">
        <w:t>.  (go to slides for very, very basic tutorial)</w:t>
      </w:r>
    </w:p>
    <w:p w:rsidR="00857D2E" w:rsidRDefault="00857D2E" w:rsidP="00DA70BB"/>
    <w:p w:rsidR="00857D2E" w:rsidRDefault="00EE0D49" w:rsidP="00DA70BB">
      <w:r>
        <w:t>The ode45 method:</w:t>
      </w:r>
    </w:p>
    <w:p w:rsidR="00EE0D49" w:rsidRPr="00EE0D49" w:rsidRDefault="00EE0D49" w:rsidP="00DA70BB">
      <w:pPr>
        <w:rPr>
          <w:i/>
        </w:rPr>
      </w:pPr>
      <w:r w:rsidRPr="00EE0D49">
        <w:rPr>
          <w:i/>
        </w:rPr>
        <w:t xml:space="preserve">(help page from going to </w:t>
      </w:r>
      <w:hyperlink r:id="rId35" w:history="1">
        <w:r w:rsidRPr="00EE0D49">
          <w:rPr>
            <w:rStyle w:val="Hyperlink"/>
            <w:i/>
          </w:rPr>
          <w:t>www.mathworks.com</w:t>
        </w:r>
      </w:hyperlink>
      <w:r w:rsidRPr="00EE0D49">
        <w:rPr>
          <w:i/>
        </w:rPr>
        <w:t>, entering ode45 in the search slot, then going to the first selection)</w:t>
      </w:r>
    </w:p>
    <w:p w:rsidR="00EE0D49" w:rsidRPr="00EE0D49" w:rsidRDefault="00EE0D49" w:rsidP="00DA70BB">
      <w:pPr>
        <w:rPr>
          <w:sz w:val="18"/>
        </w:rPr>
      </w:pPr>
      <w:hyperlink r:id="rId36" w:history="1">
        <w:r w:rsidRPr="00EE0D49">
          <w:rPr>
            <w:rStyle w:val="Hyperlink"/>
            <w:sz w:val="18"/>
          </w:rPr>
          <w:t>http://www.mathworks.com/access/helpdesk/help/techdoc/index.html?/access/helpdesk/help/techdoc/ref/ode113.html</w:t>
        </w:r>
      </w:hyperlink>
    </w:p>
    <w:p w:rsidR="00EE0D49" w:rsidRDefault="00EE0D49" w:rsidP="00DA70BB"/>
    <w:p w:rsidR="00EE0D49" w:rsidRPr="00EE0D49" w:rsidRDefault="00EE0D49" w:rsidP="00DA70BB">
      <w:r>
        <w:t>See slides for Runge-kutta discussion, and we’ll discuss the implications in class.</w:t>
      </w:r>
    </w:p>
    <w:sectPr w:rsidR="00EE0D49" w:rsidRPr="00EE0D49">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046"/>
    <w:multiLevelType w:val="hybridMultilevel"/>
    <w:tmpl w:val="B596AA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2556C3"/>
    <w:multiLevelType w:val="hybridMultilevel"/>
    <w:tmpl w:val="887EB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9F7C1D"/>
    <w:multiLevelType w:val="hybridMultilevel"/>
    <w:tmpl w:val="7B04B226"/>
    <w:lvl w:ilvl="0" w:tplc="C51AFA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CD5EA4"/>
    <w:multiLevelType w:val="hybridMultilevel"/>
    <w:tmpl w:val="F64ECA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A5F41FF"/>
    <w:multiLevelType w:val="hybridMultilevel"/>
    <w:tmpl w:val="2ED40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916897"/>
    <w:multiLevelType w:val="hybridMultilevel"/>
    <w:tmpl w:val="8B362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3B1D85"/>
    <w:multiLevelType w:val="hybridMultilevel"/>
    <w:tmpl w:val="69D6C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8">
    <w:nsid w:val="450770B9"/>
    <w:multiLevelType w:val="hybridMultilevel"/>
    <w:tmpl w:val="5D8ADD10"/>
    <w:lvl w:ilvl="0" w:tplc="C51AFA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D40664"/>
    <w:multiLevelType w:val="hybridMultilevel"/>
    <w:tmpl w:val="90C0BBE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E0563B"/>
    <w:multiLevelType w:val="hybridMultilevel"/>
    <w:tmpl w:val="C31A36AC"/>
    <w:lvl w:ilvl="0" w:tplc="C51AFA1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4"/>
  </w:num>
  <w:num w:numId="3">
    <w:abstractNumId w:val="1"/>
  </w:num>
  <w:num w:numId="4">
    <w:abstractNumId w:val="6"/>
  </w:num>
  <w:num w:numId="5">
    <w:abstractNumId w:val="11"/>
  </w:num>
  <w:num w:numId="6">
    <w:abstractNumId w:val="20"/>
  </w:num>
  <w:num w:numId="7">
    <w:abstractNumId w:val="17"/>
  </w:num>
  <w:num w:numId="8">
    <w:abstractNumId w:val="7"/>
  </w:num>
  <w:num w:numId="9">
    <w:abstractNumId w:val="15"/>
  </w:num>
  <w:num w:numId="10">
    <w:abstractNumId w:val="23"/>
  </w:num>
  <w:num w:numId="11">
    <w:abstractNumId w:val="8"/>
  </w:num>
  <w:num w:numId="12">
    <w:abstractNumId w:val="14"/>
  </w:num>
  <w:num w:numId="13">
    <w:abstractNumId w:val="4"/>
  </w:num>
  <w:num w:numId="14">
    <w:abstractNumId w:val="13"/>
  </w:num>
  <w:num w:numId="15">
    <w:abstractNumId w:val="19"/>
  </w:num>
  <w:num w:numId="16">
    <w:abstractNumId w:val="10"/>
  </w:num>
  <w:num w:numId="17">
    <w:abstractNumId w:val="21"/>
  </w:num>
  <w:num w:numId="18">
    <w:abstractNumId w:val="2"/>
  </w:num>
  <w:num w:numId="19">
    <w:abstractNumId w:val="0"/>
  </w:num>
  <w:num w:numId="20">
    <w:abstractNumId w:val="9"/>
  </w:num>
  <w:num w:numId="21">
    <w:abstractNumId w:val="16"/>
  </w:num>
  <w:num w:numId="22">
    <w:abstractNumId w:val="12"/>
  </w:num>
  <w:num w:numId="23">
    <w:abstractNumId w:val="18"/>
  </w:num>
  <w:num w:numId="24">
    <w:abstractNumId w:val="2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BA5"/>
    <w:rsid w:val="0002177B"/>
    <w:rsid w:val="00141163"/>
    <w:rsid w:val="002511C1"/>
    <w:rsid w:val="00387637"/>
    <w:rsid w:val="00405557"/>
    <w:rsid w:val="004354EA"/>
    <w:rsid w:val="004E125E"/>
    <w:rsid w:val="00503804"/>
    <w:rsid w:val="00656ED8"/>
    <w:rsid w:val="006A67D6"/>
    <w:rsid w:val="007857BF"/>
    <w:rsid w:val="00795B21"/>
    <w:rsid w:val="007A74E0"/>
    <w:rsid w:val="007B7BA5"/>
    <w:rsid w:val="00840FD1"/>
    <w:rsid w:val="00857D2E"/>
    <w:rsid w:val="009018A8"/>
    <w:rsid w:val="00AB10D3"/>
    <w:rsid w:val="00AE0A8B"/>
    <w:rsid w:val="00B060CC"/>
    <w:rsid w:val="00D61663"/>
    <w:rsid w:val="00D73CD8"/>
    <w:rsid w:val="00DA70BB"/>
    <w:rsid w:val="00E519BE"/>
    <w:rsid w:val="00EE0D49"/>
    <w:rsid w:val="00FB0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wmf"/><Relationship Id="rId3" Type="http://schemas.microsoft.com/office/2007/relationships/stylesWithEffects" Target="stylesWithEffects.xml"/><Relationship Id="rId21" Type="http://schemas.openxmlformats.org/officeDocument/2006/relationships/oleObject" Target="embeddings/oleObject6.bin"/><Relationship Id="rId34" Type="http://schemas.openxmlformats.org/officeDocument/2006/relationships/image" Target="media/image19.emf"/><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0.bin"/><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1.bin"/><Relationship Id="rId24" Type="http://schemas.openxmlformats.org/officeDocument/2006/relationships/image" Target="media/image12.wmf"/><Relationship Id="rId32" Type="http://schemas.openxmlformats.org/officeDocument/2006/relationships/image" Target="media/image18.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hyperlink" Target="http://www.mathworks.com/access/helpdesk/help/techdoc/index.html?/access/helpdesk/help/techdoc/ref/ode113.html" TargetMode="External"/><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image" Target="media/image16.png"/><Relationship Id="rId35" Type="http://schemas.openxmlformats.org/officeDocument/2006/relationships/hyperlink" Target="http://www.mat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To: </vt:lpstr>
    </vt:vector>
  </TitlesOfParts>
  <Company>Columbia University</Company>
  <LinksUpToDate>false</LinksUpToDate>
  <CharactersWithSpaces>3397</CharactersWithSpaces>
  <SharedDoc>false</SharedDoc>
  <HLinks>
    <vt:vector size="12" baseType="variant">
      <vt:variant>
        <vt:i4>3014714</vt:i4>
      </vt:variant>
      <vt:variant>
        <vt:i4>33</vt:i4>
      </vt:variant>
      <vt:variant>
        <vt:i4>0</vt:i4>
      </vt:variant>
      <vt:variant>
        <vt:i4>5</vt:i4>
      </vt:variant>
      <vt:variant>
        <vt:lpwstr>http://www.mathworks.com/access/helpdesk/help/techdoc/index.html?/access/helpdesk/help/techdoc/ref/ode113.html</vt:lpwstr>
      </vt:variant>
      <vt:variant>
        <vt:lpwstr/>
      </vt:variant>
      <vt:variant>
        <vt:i4>4849692</vt:i4>
      </vt:variant>
      <vt:variant>
        <vt:i4>30</vt:i4>
      </vt:variant>
      <vt:variant>
        <vt:i4>0</vt:i4>
      </vt:variant>
      <vt:variant>
        <vt:i4>5</vt:i4>
      </vt:variant>
      <vt:variant>
        <vt:lpwstr>http://www.mathworks.com/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Barclay Morrison III</dc:creator>
  <cp:lastModifiedBy>Columbia University</cp:lastModifiedBy>
  <cp:revision>2</cp:revision>
  <cp:lastPrinted>2004-10-06T16:03:00Z</cp:lastPrinted>
  <dcterms:created xsi:type="dcterms:W3CDTF">2016-09-02T04:54:00Z</dcterms:created>
  <dcterms:modified xsi:type="dcterms:W3CDTF">2016-09-02T04:54:00Z</dcterms:modified>
</cp:coreProperties>
</file>